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D59F" w14:textId="77777777" w:rsidR="001750EC" w:rsidRPr="004210A5" w:rsidRDefault="001750EC" w:rsidP="00E5189D">
      <w:pPr>
        <w:spacing w:after="120" w:line="240" w:lineRule="auto"/>
        <w:jc w:val="center"/>
        <w:rPr>
          <w:rFonts w:cstheme="minorHAnsi"/>
          <w:b/>
          <w:bCs/>
        </w:rPr>
      </w:pPr>
    </w:p>
    <w:p w14:paraId="7A1E19E9" w14:textId="77777777" w:rsidR="001750EC" w:rsidRPr="004210A5" w:rsidRDefault="001750EC" w:rsidP="00E5189D">
      <w:pPr>
        <w:spacing w:after="120" w:line="240" w:lineRule="auto"/>
        <w:jc w:val="center"/>
        <w:rPr>
          <w:rFonts w:cstheme="minorHAnsi"/>
          <w:b/>
          <w:bCs/>
        </w:rPr>
      </w:pPr>
    </w:p>
    <w:p w14:paraId="6FD5083C" w14:textId="77777777" w:rsidR="001750EC" w:rsidRPr="00F049A4" w:rsidRDefault="001750EC" w:rsidP="00E5189D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049A4">
        <w:rPr>
          <w:rFonts w:cstheme="minorHAnsi"/>
          <w:b/>
          <w:bCs/>
          <w:sz w:val="28"/>
          <w:szCs w:val="28"/>
        </w:rPr>
        <w:t xml:space="preserve">EMERGENCY USE </w:t>
      </w:r>
      <w:bookmarkStart w:id="0" w:name="_Hlk485724098"/>
      <w:r w:rsidRPr="00F049A4">
        <w:rPr>
          <w:rFonts w:cstheme="minorHAnsi"/>
          <w:b/>
          <w:bCs/>
          <w:sz w:val="28"/>
          <w:szCs w:val="28"/>
        </w:rPr>
        <w:t>PATHWAY CRITERIA</w:t>
      </w:r>
    </w:p>
    <w:p w14:paraId="5AA9EB18" w14:textId="77777777" w:rsidR="001750EC" w:rsidRPr="004210A5" w:rsidRDefault="001750EC" w:rsidP="00E5189D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4210A5">
        <w:rPr>
          <w:rFonts w:cstheme="minorHAnsi"/>
        </w:rPr>
        <w:t xml:space="preserve">The patient has a </w:t>
      </w:r>
      <w:r w:rsidRPr="004210A5">
        <w:rPr>
          <w:rFonts w:cstheme="minorHAnsi"/>
          <w:b/>
        </w:rPr>
        <w:t>life-threatening</w:t>
      </w:r>
      <w:r w:rsidRPr="004210A5">
        <w:rPr>
          <w:rFonts w:cstheme="minorHAnsi"/>
        </w:rPr>
        <w:t xml:space="preserve"> or serious disease or condition that needs immediate </w:t>
      </w:r>
      <w:proofErr w:type="gramStart"/>
      <w:r w:rsidRPr="004210A5">
        <w:rPr>
          <w:rFonts w:cstheme="minorHAnsi"/>
        </w:rPr>
        <w:t>treatment;</w:t>
      </w:r>
      <w:proofErr w:type="gramEnd"/>
    </w:p>
    <w:p w14:paraId="43ACD6F4" w14:textId="77777777" w:rsidR="001750EC" w:rsidRPr="004210A5" w:rsidRDefault="001750EC" w:rsidP="00E5189D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4210A5">
        <w:rPr>
          <w:rFonts w:cstheme="minorHAnsi"/>
        </w:rPr>
        <w:t>No generally acceptable alternative treatment for the condition exists; and</w:t>
      </w:r>
    </w:p>
    <w:p w14:paraId="58BF234F" w14:textId="77777777" w:rsidR="001750EC" w:rsidRPr="00827CF9" w:rsidRDefault="001750EC" w:rsidP="00E5189D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4210A5">
        <w:rPr>
          <w:rFonts w:cstheme="minorHAnsi"/>
        </w:rPr>
        <w:t>Because of the immediate need to use the drug/device, there is no time to use existing procedures to obtain FDA approval for the use.</w:t>
      </w:r>
    </w:p>
    <w:p w14:paraId="37BA7148" w14:textId="77777777" w:rsidR="001750EC" w:rsidRPr="00827CF9" w:rsidRDefault="001750EC" w:rsidP="00827CF9">
      <w:pPr>
        <w:spacing w:after="0" w:line="240" w:lineRule="auto"/>
        <w:rPr>
          <w:rFonts w:cstheme="minorHAnsi"/>
          <w:i/>
          <w:sz w:val="20"/>
        </w:rPr>
      </w:pPr>
      <w:r w:rsidRPr="00827CF9">
        <w:rPr>
          <w:rFonts w:cstheme="minorHAnsi"/>
          <w:i/>
          <w:sz w:val="20"/>
        </w:rPr>
        <w:t>*</w:t>
      </w:r>
      <w:r w:rsidRPr="00827CF9">
        <w:rPr>
          <w:rFonts w:cstheme="minorHAnsi"/>
          <w:b/>
          <w:i/>
          <w:sz w:val="20"/>
        </w:rPr>
        <w:t>Life threatening</w:t>
      </w:r>
      <w:r w:rsidRPr="00827CF9">
        <w:rPr>
          <w:rFonts w:cstheme="minorHAnsi"/>
          <w:i/>
          <w:sz w:val="20"/>
        </w:rPr>
        <w:t xml:space="preserve"> is defined as:</w:t>
      </w:r>
    </w:p>
    <w:p w14:paraId="069899FF" w14:textId="77777777" w:rsidR="001750EC" w:rsidRPr="00827CF9" w:rsidRDefault="001750EC" w:rsidP="00827CF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  <w:i/>
          <w:sz w:val="20"/>
        </w:rPr>
      </w:pPr>
      <w:r w:rsidRPr="00827CF9">
        <w:rPr>
          <w:rFonts w:cstheme="minorHAnsi"/>
          <w:i/>
          <w:sz w:val="20"/>
        </w:rPr>
        <w:t>The likelihood of death is high unless the course of the disease is interrupted;</w:t>
      </w:r>
    </w:p>
    <w:p w14:paraId="27588003" w14:textId="77777777" w:rsidR="001750EC" w:rsidRPr="00827CF9" w:rsidRDefault="001750EC" w:rsidP="00827CF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  <w:i/>
          <w:sz w:val="20"/>
        </w:rPr>
      </w:pPr>
      <w:r w:rsidRPr="00827CF9">
        <w:rPr>
          <w:rFonts w:cstheme="minorHAnsi"/>
          <w:i/>
          <w:sz w:val="20"/>
        </w:rPr>
        <w:t>A disease or condition with a potentially fatal outcome, where the end-point is survival.</w:t>
      </w:r>
    </w:p>
    <w:p w14:paraId="0933CBA9" w14:textId="77777777" w:rsidR="001750EC" w:rsidRPr="00827CF9" w:rsidRDefault="001750EC" w:rsidP="00827CF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  <w:i/>
          <w:sz w:val="20"/>
        </w:rPr>
      </w:pPr>
      <w:r w:rsidRPr="00827CF9">
        <w:rPr>
          <w:rFonts w:cstheme="minorHAnsi"/>
          <w:i/>
          <w:sz w:val="20"/>
        </w:rPr>
        <w:t>The disease or condition causes major irreversible morbidity.</w:t>
      </w:r>
    </w:p>
    <w:bookmarkEnd w:id="0"/>
    <w:p w14:paraId="2318BA55" w14:textId="77777777" w:rsidR="001750EC" w:rsidRPr="004210A5" w:rsidRDefault="001750EC" w:rsidP="00E5189D">
      <w:pPr>
        <w:spacing w:after="120" w:line="240" w:lineRule="auto"/>
        <w:rPr>
          <w:rFonts w:cstheme="minorHAnsi"/>
        </w:rPr>
      </w:pPr>
    </w:p>
    <w:p w14:paraId="06B1219B" w14:textId="77777777" w:rsidR="001750EC" w:rsidRPr="004210A5" w:rsidRDefault="001750EC" w:rsidP="00133E6D">
      <w:pPr>
        <w:spacing w:after="120" w:line="240" w:lineRule="auto"/>
        <w:jc w:val="center"/>
        <w:rPr>
          <w:rFonts w:cstheme="minorHAnsi"/>
          <w:b/>
          <w:i/>
          <w:color w:val="C00000"/>
        </w:rPr>
      </w:pPr>
      <w:r w:rsidRPr="004210A5">
        <w:rPr>
          <w:rFonts w:cstheme="minorHAnsi"/>
          <w:b/>
          <w:i/>
          <w:color w:val="C00000"/>
        </w:rPr>
        <w:t xml:space="preserve">If the above 3 criteria are </w:t>
      </w:r>
      <w:r w:rsidRPr="004210A5">
        <w:rPr>
          <w:rFonts w:cstheme="minorHAnsi"/>
          <w:b/>
          <w:i/>
          <w:color w:val="C00000"/>
          <w:u w:val="single"/>
        </w:rPr>
        <w:t>not</w:t>
      </w:r>
      <w:r w:rsidRPr="004210A5">
        <w:rPr>
          <w:rFonts w:cstheme="minorHAnsi"/>
          <w:b/>
          <w:i/>
          <w:color w:val="C00000"/>
        </w:rPr>
        <w:t xml:space="preserve"> met, refer to the Compassionate Use Pathway Criteria</w:t>
      </w:r>
    </w:p>
    <w:p w14:paraId="5462D8CD" w14:textId="77777777" w:rsidR="001750EC" w:rsidRPr="004210A5" w:rsidRDefault="001750EC" w:rsidP="00133E6D">
      <w:pPr>
        <w:spacing w:after="120" w:line="240" w:lineRule="auto"/>
        <w:jc w:val="center"/>
        <w:rPr>
          <w:rFonts w:cstheme="minorHAnsi"/>
        </w:rPr>
      </w:pPr>
    </w:p>
    <w:p w14:paraId="55C903EE" w14:textId="2A80D8F9" w:rsidR="001750EC" w:rsidRPr="004210A5" w:rsidRDefault="001750EC" w:rsidP="00E5189D">
      <w:pPr>
        <w:spacing w:after="120" w:line="240" w:lineRule="auto"/>
        <w:rPr>
          <w:rFonts w:cstheme="minorHAnsi"/>
          <w:b/>
        </w:rPr>
      </w:pPr>
      <w:r w:rsidRPr="004210A5">
        <w:rPr>
          <w:rFonts w:cstheme="minorHAnsi"/>
          <w:b/>
        </w:rPr>
        <w:t>SUBMISSION GUIDANCE AND STEPS FOR OBTAINING APPROVAL:</w:t>
      </w:r>
    </w:p>
    <w:p w14:paraId="1BA8A8F0" w14:textId="77777777" w:rsidR="001750EC" w:rsidRPr="004210A5" w:rsidRDefault="004210A5" w:rsidP="00E5189D">
      <w:pPr>
        <w:pStyle w:val="ListParagraph"/>
        <w:numPr>
          <w:ilvl w:val="0"/>
          <w:numId w:val="12"/>
        </w:numPr>
        <w:spacing w:after="120" w:line="240" w:lineRule="auto"/>
        <w:ind w:left="360"/>
        <w:contextualSpacing w:val="0"/>
        <w:rPr>
          <w:rFonts w:cstheme="minorHAnsi"/>
          <w:b/>
        </w:rPr>
      </w:pPr>
      <w:r w:rsidRPr="004210A5">
        <w:rPr>
          <w:rFonts w:cstheme="minorHAnsi"/>
          <w:b/>
        </w:rPr>
        <w:t>BEFORE USE</w:t>
      </w:r>
      <w:r w:rsidR="001750EC" w:rsidRPr="004210A5">
        <w:rPr>
          <w:rFonts w:cstheme="minorHAnsi"/>
          <w:b/>
        </w:rPr>
        <w:t>:</w:t>
      </w:r>
    </w:p>
    <w:p w14:paraId="3065D31C" w14:textId="77777777" w:rsidR="001750EC" w:rsidRPr="004210A5" w:rsidRDefault="001750EC" w:rsidP="00E5189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 xml:space="preserve">The investigator should contact the drug/device manufacturer of the product to determine if the product can be provided, and if it can be administered under an existing IND/IDE. The investigator should also consult with the manufacturer regarding any manufacturer specific requirements (e.g., IRB chair concurrence prior to shipping a product). If it is not available through an existing IND/IDE, the investigator should:  </w:t>
      </w:r>
    </w:p>
    <w:p w14:paraId="4D609D6E" w14:textId="77777777" w:rsidR="004210A5" w:rsidRPr="004210A5" w:rsidRDefault="001750EC" w:rsidP="00E5189D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  <w:b/>
        </w:rPr>
        <w:t>Drugs/ Biologics</w:t>
      </w:r>
      <w:r w:rsidRPr="004210A5">
        <w:rPr>
          <w:rFonts w:cstheme="minorHAnsi"/>
        </w:rPr>
        <w:t xml:space="preserve">: </w:t>
      </w:r>
    </w:p>
    <w:p w14:paraId="0E847103" w14:textId="77777777" w:rsidR="004210A5" w:rsidRPr="004210A5" w:rsidRDefault="001750EC" w:rsidP="00E5189D">
      <w:pPr>
        <w:pStyle w:val="ListParagraph"/>
        <w:numPr>
          <w:ilvl w:val="2"/>
          <w:numId w:val="10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>Call FDA to obtain FDA authorization for the expanded access use</w:t>
      </w:r>
      <w:r w:rsidR="004210A5" w:rsidRPr="004210A5">
        <w:rPr>
          <w:rFonts w:cstheme="minorHAnsi"/>
        </w:rPr>
        <w:t xml:space="preserve">. Refer to </w:t>
      </w:r>
      <w:r w:rsidRPr="004210A5">
        <w:rPr>
          <w:rFonts w:cstheme="minorHAnsi"/>
        </w:rPr>
        <w:t xml:space="preserve">FDA Guidance Information: </w:t>
      </w:r>
    </w:p>
    <w:p w14:paraId="09F030B9" w14:textId="77777777" w:rsidR="004210A5" w:rsidRPr="004210A5" w:rsidRDefault="001750EC" w:rsidP="00E5189D">
      <w:pPr>
        <w:pStyle w:val="ListParagraph"/>
        <w:numPr>
          <w:ilvl w:val="2"/>
          <w:numId w:val="15"/>
        </w:numPr>
        <w:spacing w:after="120" w:line="240" w:lineRule="auto"/>
        <w:contextualSpacing w:val="0"/>
        <w:rPr>
          <w:rStyle w:val="Hyperlink"/>
          <w:rFonts w:cstheme="minorHAnsi"/>
          <w:b/>
          <w:color w:val="auto"/>
          <w:u w:val="none"/>
        </w:rPr>
      </w:pPr>
      <w:hyperlink r:id="rId7" w:history="1">
        <w:r w:rsidRPr="004210A5">
          <w:rPr>
            <w:rStyle w:val="Hyperlink"/>
            <w:rFonts w:cstheme="minorHAnsi"/>
          </w:rPr>
          <w:t>www.fda.gov/RegulatoryInformation/Guidances/ucm12649</w:t>
        </w:r>
        <w:r w:rsidRPr="004210A5">
          <w:rPr>
            <w:rStyle w:val="Hyperlink"/>
            <w:rFonts w:cstheme="minorHAnsi"/>
          </w:rPr>
          <w:t>1</w:t>
        </w:r>
        <w:r w:rsidRPr="004210A5">
          <w:rPr>
            <w:rStyle w:val="Hyperlink"/>
            <w:rFonts w:cstheme="minorHAnsi"/>
          </w:rPr>
          <w:t>.htm</w:t>
        </w:r>
      </w:hyperlink>
    </w:p>
    <w:p w14:paraId="5E89D843" w14:textId="77777777" w:rsidR="001750EC" w:rsidRPr="004210A5" w:rsidRDefault="001750EC" w:rsidP="00E5189D">
      <w:pPr>
        <w:pStyle w:val="ListParagraph"/>
        <w:numPr>
          <w:ilvl w:val="2"/>
          <w:numId w:val="15"/>
        </w:numPr>
        <w:spacing w:after="120" w:line="240" w:lineRule="auto"/>
        <w:contextualSpacing w:val="0"/>
        <w:rPr>
          <w:rFonts w:cstheme="minorHAnsi"/>
          <w:b/>
        </w:rPr>
      </w:pPr>
      <w:hyperlink r:id="rId8" w:history="1">
        <w:r w:rsidRPr="004210A5">
          <w:rPr>
            <w:rStyle w:val="Hyperlink"/>
            <w:rFonts w:cstheme="minorHAnsi"/>
          </w:rPr>
          <w:t>www.fda.gov</w:t>
        </w:r>
        <w:r w:rsidRPr="004210A5">
          <w:rPr>
            <w:rStyle w:val="Hyperlink"/>
            <w:rFonts w:cstheme="minorHAnsi"/>
          </w:rPr>
          <w:t>/</w:t>
        </w:r>
        <w:r w:rsidRPr="004210A5">
          <w:rPr>
            <w:rStyle w:val="Hyperlink"/>
            <w:rFonts w:cstheme="minorHAnsi"/>
          </w:rPr>
          <w:t>Drugs/DevelopmentApprovalProcess/HowDrugsareDevelopedandApproved/ApprovalApplications/InvestigationalNewDrugINDApplication/ucm597130.htm</w:t>
        </w:r>
      </w:hyperlink>
      <w:r w:rsidRPr="004210A5">
        <w:rPr>
          <w:rFonts w:cstheme="minorHAnsi"/>
        </w:rPr>
        <w:t xml:space="preserve"> </w:t>
      </w:r>
    </w:p>
    <w:p w14:paraId="693A5EE0" w14:textId="77777777" w:rsidR="004210A5" w:rsidRPr="004210A5" w:rsidRDefault="001750EC" w:rsidP="00E5189D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  <w:b/>
        </w:rPr>
        <w:t>Devices</w:t>
      </w:r>
      <w:r w:rsidRPr="004210A5">
        <w:rPr>
          <w:rFonts w:cstheme="minorHAnsi"/>
        </w:rPr>
        <w:t xml:space="preserve">: </w:t>
      </w:r>
    </w:p>
    <w:p w14:paraId="7F569DB9" w14:textId="77777777" w:rsidR="004210A5" w:rsidRPr="004210A5" w:rsidRDefault="001750EC" w:rsidP="00E5189D">
      <w:pPr>
        <w:pStyle w:val="ListParagraph"/>
        <w:numPr>
          <w:ilvl w:val="2"/>
          <w:numId w:val="10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 xml:space="preserve">Obtain an independent assessment by an uninvolved physician. </w:t>
      </w:r>
      <w:r w:rsidR="004210A5" w:rsidRPr="004210A5">
        <w:rPr>
          <w:rFonts w:cstheme="minorHAnsi"/>
        </w:rPr>
        <w:t>FDA Guidance Information:</w:t>
      </w:r>
    </w:p>
    <w:p w14:paraId="38EDC70E" w14:textId="77777777" w:rsidR="004210A5" w:rsidRPr="004210A5" w:rsidRDefault="001750EC" w:rsidP="00E5189D">
      <w:pPr>
        <w:pStyle w:val="ListParagraph"/>
        <w:numPr>
          <w:ilvl w:val="2"/>
          <w:numId w:val="16"/>
        </w:numPr>
        <w:spacing w:after="120" w:line="240" w:lineRule="auto"/>
        <w:contextualSpacing w:val="0"/>
        <w:rPr>
          <w:rStyle w:val="Hyperlink"/>
          <w:rFonts w:cstheme="minorHAnsi"/>
          <w:b/>
          <w:color w:val="auto"/>
          <w:u w:val="none"/>
        </w:rPr>
      </w:pPr>
      <w:hyperlink r:id="rId9" w:anchor="emergency" w:history="1">
        <w:r w:rsidRPr="004210A5">
          <w:rPr>
            <w:rStyle w:val="Hyperlink"/>
            <w:rFonts w:cstheme="minorHAnsi"/>
          </w:rPr>
          <w:t>https://www.fda.gov/MedicalDevices/DeviceRegulationandGuidance/HowtoMarketYourDevice/InvestigationalDeviceExemptionIDE/ucm051345.htm#emergency</w:t>
        </w:r>
      </w:hyperlink>
    </w:p>
    <w:p w14:paraId="14FA3FE0" w14:textId="77777777" w:rsidR="004210A5" w:rsidRPr="004210A5" w:rsidRDefault="001750EC" w:rsidP="00E5189D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 xml:space="preserve">Determine whether informed consent can be obtained from the patient or the patients legally authorized representative (LAR), and whether there is time to obtain informed consent. </w:t>
      </w:r>
    </w:p>
    <w:p w14:paraId="5F713B68" w14:textId="2C1089CC" w:rsidR="004210A5" w:rsidRPr="004210A5" w:rsidRDefault="001750EC" w:rsidP="00E5189D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 xml:space="preserve">If there is time, </w:t>
      </w:r>
      <w:r w:rsidR="00F049A4">
        <w:rPr>
          <w:rFonts w:cstheme="minorHAnsi"/>
        </w:rPr>
        <w:t>utilize</w:t>
      </w:r>
      <w:r w:rsidR="00F049A4" w:rsidRPr="004210A5">
        <w:rPr>
          <w:rFonts w:cstheme="minorHAnsi"/>
        </w:rPr>
        <w:t xml:space="preserve"> </w:t>
      </w:r>
      <w:r w:rsidRPr="004210A5">
        <w:rPr>
          <w:rFonts w:cstheme="minorHAnsi"/>
        </w:rPr>
        <w:t xml:space="preserve">a consent form for the patient (or LAR) to sign before the test article is used. The patient (or LAR) must understand the investigational nature of the product being used. A template Single Patient Treatment Use consent form can be found here: </w:t>
      </w:r>
      <w:hyperlink r:id="rId10" w:history="1">
        <w:r w:rsidRPr="004210A5">
          <w:rPr>
            <w:rStyle w:val="Hyperlink"/>
            <w:rFonts w:cstheme="minorHAnsi"/>
          </w:rPr>
          <w:t>www.upenn.edu/IRB/forms</w:t>
        </w:r>
      </w:hyperlink>
      <w:r w:rsidRPr="004210A5">
        <w:rPr>
          <w:rFonts w:cstheme="minorHAnsi"/>
        </w:rPr>
        <w:t xml:space="preserve">.   </w:t>
      </w:r>
    </w:p>
    <w:p w14:paraId="1600E61E" w14:textId="77777777" w:rsidR="004210A5" w:rsidRPr="004210A5" w:rsidRDefault="001750EC" w:rsidP="00E5189D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 xml:space="preserve">If consent cannot be obtained because the situation meets the requirements for Exception from Informed Consent Requirement (as outlined below) the investigator must: </w:t>
      </w:r>
    </w:p>
    <w:p w14:paraId="3B88BE80" w14:textId="11831993" w:rsidR="004210A5" w:rsidRPr="004210A5" w:rsidRDefault="001750EC" w:rsidP="00E5189D">
      <w:pPr>
        <w:pStyle w:val="ListParagraph"/>
        <w:numPr>
          <w:ilvl w:val="2"/>
          <w:numId w:val="16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t xml:space="preserve">Certify how this determination was made by completing </w:t>
      </w:r>
      <w:r w:rsidR="00F049A4">
        <w:rPr>
          <w:rFonts w:cstheme="minorHAnsi"/>
        </w:rPr>
        <w:t>the “Waiver of Alteration of Consent” section in the Penn eIRB Single Patient Treatment Use submission</w:t>
      </w:r>
      <w:r w:rsidRPr="004210A5">
        <w:rPr>
          <w:rFonts w:cstheme="minorHAnsi"/>
        </w:rPr>
        <w:t xml:space="preserve">. </w:t>
      </w:r>
    </w:p>
    <w:p w14:paraId="080117C9" w14:textId="77777777" w:rsidR="00E5189D" w:rsidRPr="00E5189D" w:rsidRDefault="001750EC" w:rsidP="00E5189D">
      <w:pPr>
        <w:pStyle w:val="ListParagraph"/>
        <w:numPr>
          <w:ilvl w:val="2"/>
          <w:numId w:val="16"/>
        </w:numPr>
        <w:spacing w:after="120" w:line="240" w:lineRule="auto"/>
        <w:contextualSpacing w:val="0"/>
        <w:rPr>
          <w:rFonts w:cstheme="minorHAnsi"/>
          <w:b/>
        </w:rPr>
      </w:pPr>
      <w:r w:rsidRPr="004210A5">
        <w:rPr>
          <w:rFonts w:cstheme="minorHAnsi"/>
        </w:rPr>
        <w:lastRenderedPageBreak/>
        <w:t xml:space="preserve">Have the determination reviewed and evaluated by a physician who is not otherwise participating in the clinical investigation. This should occur preferably before the emergency use but no later than 5 working days after the use of the article.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8995"/>
      </w:tblGrid>
      <w:tr w:rsidR="00E5189D" w:rsidRPr="00E5189D" w14:paraId="2AFDB234" w14:textId="77777777" w:rsidTr="00E5189D">
        <w:trPr>
          <w:trHeight w:val="1817"/>
        </w:trPr>
        <w:tc>
          <w:tcPr>
            <w:tcW w:w="0" w:type="auto"/>
            <w:shd w:val="clear" w:color="auto" w:fill="D9D9D9" w:themeFill="background1" w:themeFillShade="D9"/>
          </w:tcPr>
          <w:p w14:paraId="2CFA20FC" w14:textId="77777777" w:rsidR="00E5189D" w:rsidRPr="00E5189D" w:rsidRDefault="00E5189D" w:rsidP="00E5189D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5189D">
              <w:rPr>
                <w:rFonts w:cstheme="minorHAnsi"/>
                <w:i/>
                <w:sz w:val="20"/>
                <w:szCs w:val="20"/>
                <w:u w:val="single"/>
              </w:rPr>
              <w:t>Exception from Informed Consent Requirements [21 CFR 50.23(a)]</w:t>
            </w:r>
          </w:p>
          <w:p w14:paraId="12D02869" w14:textId="301EFE86" w:rsidR="00E5189D" w:rsidRPr="00E5189D" w:rsidRDefault="00E5189D" w:rsidP="00E5189D">
            <w:pPr>
              <w:pStyle w:val="ListParagraph"/>
              <w:numPr>
                <w:ilvl w:val="0"/>
                <w:numId w:val="4"/>
              </w:numPr>
              <w:ind w:left="342" w:hanging="270"/>
              <w:contextualSpacing w:val="0"/>
              <w:rPr>
                <w:rFonts w:cstheme="minorHAnsi"/>
                <w:i/>
                <w:sz w:val="20"/>
                <w:szCs w:val="20"/>
              </w:rPr>
            </w:pPr>
            <w:r w:rsidRPr="00E5189D">
              <w:rPr>
                <w:rFonts w:cstheme="minorHAnsi"/>
                <w:i/>
                <w:sz w:val="20"/>
                <w:szCs w:val="20"/>
              </w:rPr>
              <w:t xml:space="preserve">The subject is confronted by a life-threatening situation necessitating the use of the test article, </w:t>
            </w:r>
          </w:p>
          <w:p w14:paraId="56AAF4D9" w14:textId="77777777" w:rsidR="00E5189D" w:rsidRPr="00E5189D" w:rsidRDefault="00E5189D" w:rsidP="00E5189D">
            <w:pPr>
              <w:pStyle w:val="ListParagraph"/>
              <w:numPr>
                <w:ilvl w:val="0"/>
                <w:numId w:val="4"/>
              </w:numPr>
              <w:ind w:left="342" w:hanging="270"/>
              <w:contextualSpacing w:val="0"/>
              <w:rPr>
                <w:rFonts w:cstheme="minorHAnsi"/>
                <w:i/>
                <w:sz w:val="20"/>
                <w:szCs w:val="20"/>
              </w:rPr>
            </w:pPr>
            <w:r w:rsidRPr="00E5189D">
              <w:rPr>
                <w:rFonts w:cstheme="minorHAnsi"/>
                <w:i/>
                <w:sz w:val="20"/>
                <w:szCs w:val="20"/>
              </w:rPr>
              <w:t>Informed consent cannot be obtained because of an</w:t>
            </w:r>
            <w:r>
              <w:rPr>
                <w:rFonts w:cstheme="minorHAnsi"/>
                <w:i/>
                <w:sz w:val="20"/>
                <w:szCs w:val="20"/>
              </w:rPr>
              <w:t xml:space="preserve"> inability to communicate with (</w:t>
            </w:r>
            <w:r w:rsidRPr="00E5189D">
              <w:rPr>
                <w:rFonts w:cstheme="minorHAnsi"/>
                <w:i/>
                <w:sz w:val="20"/>
                <w:szCs w:val="20"/>
              </w:rPr>
              <w:t>or obtain legally effe</w:t>
            </w:r>
            <w:r>
              <w:rPr>
                <w:rFonts w:cstheme="minorHAnsi"/>
                <w:i/>
                <w:sz w:val="20"/>
                <w:szCs w:val="20"/>
              </w:rPr>
              <w:t>ctive consent from)</w:t>
            </w:r>
            <w:r w:rsidRPr="00E5189D">
              <w:rPr>
                <w:rFonts w:cstheme="minorHAnsi"/>
                <w:i/>
                <w:sz w:val="20"/>
                <w:szCs w:val="20"/>
              </w:rPr>
              <w:t xml:space="preserve"> the subject, </w:t>
            </w:r>
          </w:p>
          <w:p w14:paraId="77800537" w14:textId="77777777" w:rsidR="00E5189D" w:rsidRPr="00E5189D" w:rsidRDefault="00E5189D" w:rsidP="00E5189D">
            <w:pPr>
              <w:pStyle w:val="ListParagraph"/>
              <w:numPr>
                <w:ilvl w:val="0"/>
                <w:numId w:val="4"/>
              </w:numPr>
              <w:ind w:left="342" w:hanging="270"/>
              <w:contextualSpacing w:val="0"/>
              <w:rPr>
                <w:rFonts w:cstheme="minorHAnsi"/>
                <w:i/>
                <w:sz w:val="20"/>
                <w:szCs w:val="20"/>
              </w:rPr>
            </w:pPr>
            <w:r w:rsidRPr="00E5189D">
              <w:rPr>
                <w:rFonts w:cstheme="minorHAnsi"/>
                <w:i/>
                <w:sz w:val="20"/>
                <w:szCs w:val="20"/>
              </w:rPr>
              <w:t>Time is not sufficient to obtain consent from the subject's legal representative, AND</w:t>
            </w:r>
          </w:p>
          <w:p w14:paraId="05550DC3" w14:textId="77777777" w:rsidR="00E5189D" w:rsidRPr="00E5189D" w:rsidRDefault="00E5189D" w:rsidP="00E5189D">
            <w:pPr>
              <w:pStyle w:val="ListParagraph"/>
              <w:numPr>
                <w:ilvl w:val="0"/>
                <w:numId w:val="4"/>
              </w:numPr>
              <w:ind w:left="342" w:hanging="270"/>
              <w:contextualSpacing w:val="0"/>
              <w:rPr>
                <w:rFonts w:cstheme="minorHAnsi"/>
                <w:b/>
              </w:rPr>
            </w:pPr>
            <w:r w:rsidRPr="00E5189D">
              <w:rPr>
                <w:rFonts w:cstheme="minorHAnsi"/>
                <w:i/>
                <w:sz w:val="20"/>
                <w:szCs w:val="20"/>
              </w:rPr>
              <w:t>No alternative method of approved or generally recognized therapy is available that provides an equal or greater likelihood of saving the subject's life.</w:t>
            </w:r>
          </w:p>
        </w:tc>
      </w:tr>
    </w:tbl>
    <w:p w14:paraId="61AA4FDA" w14:textId="3E1C80E2" w:rsidR="00E5189D" w:rsidRPr="00133E6D" w:rsidRDefault="00F049A4" w:rsidP="00E5189D">
      <w:pPr>
        <w:pStyle w:val="ListParagraph"/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133E6D">
        <w:rPr>
          <w:rFonts w:cstheme="minorHAnsi"/>
          <w:sz w:val="18"/>
          <w:szCs w:val="18"/>
        </w:rPr>
        <w:t>*</w:t>
      </w:r>
      <w:proofErr w:type="gramStart"/>
      <w:r w:rsidRPr="00133E6D">
        <w:rPr>
          <w:rFonts w:cstheme="minorHAnsi"/>
          <w:sz w:val="18"/>
          <w:szCs w:val="18"/>
        </w:rPr>
        <w:t>please</w:t>
      </w:r>
      <w:proofErr w:type="gramEnd"/>
      <w:r w:rsidRPr="00133E6D">
        <w:rPr>
          <w:rFonts w:cstheme="minorHAnsi"/>
          <w:sz w:val="18"/>
          <w:szCs w:val="18"/>
        </w:rPr>
        <w:t xml:space="preserve"> note that “subject” refers to “patient” for expanded access treatment use</w:t>
      </w:r>
    </w:p>
    <w:p w14:paraId="1007E98E" w14:textId="77777777" w:rsidR="00F049A4" w:rsidRDefault="00F049A4" w:rsidP="00E5189D">
      <w:pPr>
        <w:pStyle w:val="ListParagraph"/>
        <w:spacing w:after="120" w:line="240" w:lineRule="auto"/>
        <w:rPr>
          <w:rFonts w:cstheme="minorHAnsi"/>
        </w:rPr>
      </w:pPr>
    </w:p>
    <w:p w14:paraId="5DC64BAA" w14:textId="6D78D44C" w:rsidR="001750EC" w:rsidRPr="00E5189D" w:rsidRDefault="001750EC" w:rsidP="00E5189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 w:rsidRPr="00E5189D">
        <w:rPr>
          <w:rFonts w:cstheme="minorHAnsi"/>
        </w:rPr>
        <w:t xml:space="preserve">If the clinical situation allows, notify the IRB </w:t>
      </w:r>
      <w:r w:rsidR="00F049A4">
        <w:rPr>
          <w:rFonts w:cstheme="minorHAnsi"/>
        </w:rPr>
        <w:t>via eIRB</w:t>
      </w:r>
      <w:r w:rsidRPr="00E5189D">
        <w:rPr>
          <w:rFonts w:cstheme="minorHAnsi"/>
        </w:rPr>
        <w:t xml:space="preserve"> as soon as possible about the emergency use of the investigational product. </w:t>
      </w:r>
    </w:p>
    <w:p w14:paraId="1B51A110" w14:textId="77777777" w:rsidR="001750EC" w:rsidRPr="004210A5" w:rsidRDefault="001750EC" w:rsidP="00E5189D">
      <w:pPr>
        <w:spacing w:after="120" w:line="240" w:lineRule="auto"/>
        <w:rPr>
          <w:rFonts w:cstheme="minorHAnsi"/>
        </w:rPr>
      </w:pPr>
    </w:p>
    <w:p w14:paraId="259C904C" w14:textId="77777777" w:rsidR="00E006DE" w:rsidRPr="00E006DE" w:rsidRDefault="00E5189D" w:rsidP="00827CF9">
      <w:pPr>
        <w:pStyle w:val="ListParagraph"/>
        <w:numPr>
          <w:ilvl w:val="0"/>
          <w:numId w:val="12"/>
        </w:numPr>
        <w:spacing w:after="120" w:line="240" w:lineRule="auto"/>
        <w:ind w:left="360"/>
        <w:contextualSpacing w:val="0"/>
        <w:rPr>
          <w:rFonts w:cstheme="minorHAnsi"/>
          <w:b/>
        </w:rPr>
      </w:pPr>
      <w:r w:rsidRPr="00E006DE">
        <w:rPr>
          <w:rFonts w:cstheme="minorHAnsi"/>
          <w:b/>
        </w:rPr>
        <w:t xml:space="preserve">AFTER USE: </w:t>
      </w:r>
    </w:p>
    <w:p w14:paraId="025870E8" w14:textId="35D45134" w:rsidR="00E006DE" w:rsidRPr="00F049A4" w:rsidRDefault="001750EC" w:rsidP="00F049A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cstheme="minorHAnsi"/>
          <w:b/>
        </w:rPr>
      </w:pPr>
      <w:r w:rsidRPr="00E006DE">
        <w:rPr>
          <w:rFonts w:cstheme="minorHAnsi"/>
          <w:b/>
        </w:rPr>
        <w:t>Within 5 working days</w:t>
      </w:r>
      <w:r w:rsidRPr="00E006DE">
        <w:rPr>
          <w:rFonts w:cstheme="minorHAnsi"/>
        </w:rPr>
        <w:t xml:space="preserve">, </w:t>
      </w:r>
      <w:r w:rsidR="00F049A4">
        <w:rPr>
          <w:rFonts w:cstheme="minorHAnsi"/>
        </w:rPr>
        <w:t xml:space="preserve">submit </w:t>
      </w:r>
      <w:r w:rsidRPr="00E006DE">
        <w:rPr>
          <w:rFonts w:cstheme="minorHAnsi"/>
        </w:rPr>
        <w:t>to the IRB</w:t>
      </w:r>
      <w:r w:rsidR="00F049A4">
        <w:rPr>
          <w:rFonts w:cstheme="minorHAnsi"/>
        </w:rPr>
        <w:t xml:space="preserve"> a Single Patient Treatment Use- Emergency Use Notification</w:t>
      </w:r>
      <w:r w:rsidRPr="00E006DE">
        <w:rPr>
          <w:rFonts w:cstheme="minorHAnsi"/>
        </w:rPr>
        <w:t xml:space="preserve"> </w:t>
      </w:r>
      <w:r w:rsidR="00F049A4">
        <w:rPr>
          <w:rFonts w:cstheme="minorHAnsi"/>
        </w:rPr>
        <w:t xml:space="preserve">within Penn eIRB </w:t>
      </w:r>
      <w:r w:rsidRPr="00E006DE">
        <w:rPr>
          <w:rFonts w:cstheme="minorHAnsi"/>
        </w:rPr>
        <w:t xml:space="preserve">describing the emergency use in the patient. </w:t>
      </w:r>
      <w:r w:rsidR="00F049A4">
        <w:rPr>
          <w:rFonts w:cstheme="minorHAnsi"/>
        </w:rPr>
        <w:t>Upload any supplemental documentation such as:</w:t>
      </w:r>
      <w:r w:rsidR="00F049A4" w:rsidRPr="00F049A4">
        <w:rPr>
          <w:rFonts w:cstheme="minorHAnsi"/>
        </w:rPr>
        <w:t xml:space="preserve"> </w:t>
      </w:r>
      <w:r w:rsidR="00F049A4" w:rsidRPr="00F049A4">
        <w:rPr>
          <w:rFonts w:cstheme="minorHAnsi"/>
        </w:rPr>
        <w:t>Notification to the FDA of Single Patient Emergency Use,</w:t>
      </w:r>
      <w:r w:rsidR="00F049A4">
        <w:rPr>
          <w:rFonts w:cstheme="minorHAnsi"/>
        </w:rPr>
        <w:t xml:space="preserve"> </w:t>
      </w:r>
      <w:r w:rsidR="00F049A4" w:rsidRPr="00F049A4">
        <w:rPr>
          <w:rFonts w:cstheme="minorHAnsi"/>
        </w:rPr>
        <w:t>the Informed Consent Form</w:t>
      </w:r>
      <w:r w:rsidR="00F049A4">
        <w:rPr>
          <w:rFonts w:cstheme="minorHAnsi"/>
        </w:rPr>
        <w:t xml:space="preserve"> if applicable</w:t>
      </w:r>
      <w:r w:rsidR="00F049A4" w:rsidRPr="00F049A4">
        <w:rPr>
          <w:rFonts w:cstheme="minorHAnsi"/>
        </w:rPr>
        <w:t xml:space="preserve"> (redacted or blank copy)</w:t>
      </w:r>
      <w:r w:rsidR="00F049A4" w:rsidRPr="00F049A4">
        <w:rPr>
          <w:rFonts w:cstheme="minorHAnsi"/>
        </w:rPr>
        <w:t xml:space="preserve">, notification of Manufacturer authorization, </w:t>
      </w:r>
      <w:r w:rsidR="00F049A4">
        <w:rPr>
          <w:rFonts w:cstheme="minorHAnsi"/>
        </w:rPr>
        <w:t xml:space="preserve">and the </w:t>
      </w:r>
      <w:r w:rsidR="00F049A4" w:rsidRPr="004210A5">
        <w:rPr>
          <w:rFonts w:cstheme="minorHAnsi"/>
        </w:rPr>
        <w:t>independent assessment by an uninvolved physician</w:t>
      </w:r>
      <w:r w:rsidR="00F049A4" w:rsidRPr="00F049A4" w:rsidDel="00F049A4">
        <w:rPr>
          <w:rFonts w:cstheme="minorHAnsi"/>
        </w:rPr>
        <w:t xml:space="preserve"> </w:t>
      </w:r>
      <w:r w:rsidR="00F049A4">
        <w:rPr>
          <w:rFonts w:cstheme="minorHAnsi"/>
        </w:rPr>
        <w:t>for devices.</w:t>
      </w:r>
    </w:p>
    <w:p w14:paraId="15F017BA" w14:textId="77777777" w:rsidR="00827CF9" w:rsidRPr="00827CF9" w:rsidRDefault="001750EC" w:rsidP="00827CF9">
      <w:pPr>
        <w:pStyle w:val="ListParagraph"/>
        <w:numPr>
          <w:ilvl w:val="1"/>
          <w:numId w:val="22"/>
        </w:numPr>
        <w:spacing w:after="120" w:line="240" w:lineRule="auto"/>
        <w:contextualSpacing w:val="0"/>
        <w:rPr>
          <w:rFonts w:cstheme="minorHAnsi"/>
          <w:b/>
        </w:rPr>
      </w:pPr>
      <w:r w:rsidRPr="00827CF9">
        <w:rPr>
          <w:rFonts w:cstheme="minorHAnsi"/>
          <w:b/>
        </w:rPr>
        <w:t>Drugs/ Biologics</w:t>
      </w:r>
      <w:r w:rsidRPr="00827CF9">
        <w:rPr>
          <w:rFonts w:cstheme="minorHAnsi"/>
        </w:rPr>
        <w:t xml:space="preserve">: </w:t>
      </w:r>
    </w:p>
    <w:p w14:paraId="36CAEAD4" w14:textId="77777777" w:rsidR="00827CF9" w:rsidRPr="00827CF9" w:rsidRDefault="001750EC" w:rsidP="00827CF9">
      <w:pPr>
        <w:pStyle w:val="ListParagraph"/>
        <w:numPr>
          <w:ilvl w:val="2"/>
          <w:numId w:val="24"/>
        </w:numPr>
        <w:spacing w:after="120" w:line="240" w:lineRule="auto"/>
        <w:ind w:left="1980"/>
        <w:contextualSpacing w:val="0"/>
        <w:rPr>
          <w:rFonts w:cstheme="minorHAnsi"/>
          <w:b/>
        </w:rPr>
      </w:pPr>
      <w:r w:rsidRPr="00827CF9">
        <w:rPr>
          <w:rFonts w:cstheme="minorHAnsi"/>
          <w:b/>
        </w:rPr>
        <w:t>Within 15 days</w:t>
      </w:r>
      <w:r w:rsidRPr="00827CF9">
        <w:rPr>
          <w:rFonts w:cstheme="minorHAnsi"/>
        </w:rPr>
        <w:t xml:space="preserve">: Submit the expanded access IND to the FDA </w:t>
      </w:r>
    </w:p>
    <w:p w14:paraId="219F9099" w14:textId="16ECE1B4" w:rsidR="00827CF9" w:rsidRPr="00827CF9" w:rsidRDefault="001750EC" w:rsidP="00F049A4">
      <w:pPr>
        <w:pStyle w:val="ListParagraph"/>
        <w:numPr>
          <w:ilvl w:val="2"/>
          <w:numId w:val="24"/>
        </w:numPr>
        <w:spacing w:after="120" w:line="240" w:lineRule="auto"/>
        <w:ind w:left="1980"/>
        <w:contextualSpacing w:val="0"/>
        <w:rPr>
          <w:rFonts w:cstheme="minorHAnsi"/>
          <w:b/>
        </w:rPr>
      </w:pPr>
      <w:r w:rsidRPr="00827CF9">
        <w:rPr>
          <w:rFonts w:cstheme="minorHAnsi"/>
        </w:rPr>
        <w:t xml:space="preserve">If you need assistance with submitting an IND, please reach out to the Office of Clinical Research </w:t>
      </w:r>
      <w:r w:rsidR="00F049A4">
        <w:rPr>
          <w:rFonts w:cstheme="minorHAnsi"/>
        </w:rPr>
        <w:t>Regulatory Services</w:t>
      </w:r>
      <w:r w:rsidRPr="00827CF9">
        <w:rPr>
          <w:rFonts w:cstheme="minorHAnsi"/>
        </w:rPr>
        <w:t xml:space="preserve">: </w:t>
      </w:r>
      <w:hyperlink r:id="rId11" w:history="1">
        <w:r w:rsidR="00F049A4" w:rsidRPr="009A6EEE">
          <w:rPr>
            <w:rStyle w:val="Hyperlink"/>
            <w:rFonts w:cstheme="minorHAnsi"/>
          </w:rPr>
          <w:t>https://www.med.upenn.edu/clinicalresearch/regulatory-applications.html</w:t>
        </w:r>
      </w:hyperlink>
      <w:r w:rsidR="00F049A4">
        <w:rPr>
          <w:rFonts w:cstheme="minorHAnsi"/>
        </w:rPr>
        <w:t xml:space="preserve">. Questions can also be emailed to: </w:t>
      </w:r>
      <w:hyperlink r:id="rId12" w:history="1">
        <w:r w:rsidR="00F049A4" w:rsidRPr="009A6EEE">
          <w:rPr>
            <w:rStyle w:val="Hyperlink"/>
            <w:rFonts w:cstheme="minorHAnsi"/>
          </w:rPr>
          <w:t>psom-ind-ide@pobox.upenn.edu</w:t>
        </w:r>
      </w:hyperlink>
      <w:r w:rsidR="00F049A4">
        <w:rPr>
          <w:rFonts w:cstheme="minorHAnsi"/>
        </w:rPr>
        <w:t xml:space="preserve">. </w:t>
      </w:r>
    </w:p>
    <w:p w14:paraId="017AFF4C" w14:textId="77777777" w:rsidR="001750EC" w:rsidRPr="00827CF9" w:rsidRDefault="001750EC" w:rsidP="00827CF9">
      <w:pPr>
        <w:pStyle w:val="ListParagraph"/>
        <w:numPr>
          <w:ilvl w:val="2"/>
          <w:numId w:val="24"/>
        </w:numPr>
        <w:spacing w:after="120" w:line="240" w:lineRule="auto"/>
        <w:ind w:left="1980"/>
        <w:contextualSpacing w:val="0"/>
        <w:rPr>
          <w:rFonts w:cstheme="minorHAnsi"/>
          <w:b/>
        </w:rPr>
      </w:pPr>
      <w:r w:rsidRPr="00827CF9">
        <w:rPr>
          <w:rFonts w:cstheme="minorHAnsi"/>
        </w:rPr>
        <w:t xml:space="preserve">Additional Guidance: </w:t>
      </w:r>
      <w:hyperlink r:id="rId13" w:history="1">
        <w:r w:rsidRPr="00827CF9">
          <w:rPr>
            <w:rStyle w:val="Hyperlink"/>
            <w:rFonts w:cstheme="minorHAnsi"/>
          </w:rPr>
          <w:t>https://www.fda.gov/Drugs/DevelopmentApprovalProcess/HowDrugsareDevelopedandApproved/ApprovalApplications/InvestigationalNewDrugINDApplication/ucm597130.htm</w:t>
        </w:r>
      </w:hyperlink>
      <w:r w:rsidRPr="00827CF9">
        <w:rPr>
          <w:rFonts w:cstheme="minorHAnsi"/>
        </w:rPr>
        <w:t xml:space="preserve"> </w:t>
      </w:r>
    </w:p>
    <w:p w14:paraId="66A0C58C" w14:textId="77777777" w:rsidR="00827CF9" w:rsidRPr="00827CF9" w:rsidRDefault="001750EC" w:rsidP="00827CF9">
      <w:pPr>
        <w:pStyle w:val="ListParagraph"/>
        <w:numPr>
          <w:ilvl w:val="1"/>
          <w:numId w:val="24"/>
        </w:numPr>
        <w:spacing w:after="120" w:line="240" w:lineRule="auto"/>
        <w:contextualSpacing w:val="0"/>
        <w:rPr>
          <w:rFonts w:cstheme="minorHAnsi"/>
          <w:b/>
        </w:rPr>
      </w:pPr>
      <w:r w:rsidRPr="00827CF9">
        <w:rPr>
          <w:rFonts w:cstheme="minorHAnsi"/>
          <w:b/>
        </w:rPr>
        <w:t xml:space="preserve">Devices: </w:t>
      </w:r>
    </w:p>
    <w:p w14:paraId="40C77BE1" w14:textId="77777777" w:rsidR="00E5189D" w:rsidRPr="00827CF9" w:rsidRDefault="001750EC" w:rsidP="00827CF9">
      <w:pPr>
        <w:pStyle w:val="ListParagraph"/>
        <w:numPr>
          <w:ilvl w:val="2"/>
          <w:numId w:val="24"/>
        </w:numPr>
        <w:spacing w:after="120" w:line="240" w:lineRule="auto"/>
        <w:ind w:left="1980"/>
        <w:contextualSpacing w:val="0"/>
        <w:rPr>
          <w:rFonts w:cstheme="minorHAnsi"/>
        </w:rPr>
      </w:pPr>
      <w:r w:rsidRPr="00827CF9">
        <w:rPr>
          <w:rFonts w:cstheme="minorHAnsi"/>
        </w:rPr>
        <w:t>Within 5 working days, a written notification must be sent to the FDA describing the emergency use in the patient.</w:t>
      </w:r>
    </w:p>
    <w:p w14:paraId="3FE83AE2" w14:textId="77777777" w:rsidR="00827CF9" w:rsidRPr="00827CF9" w:rsidRDefault="001750EC" w:rsidP="00827CF9">
      <w:pPr>
        <w:pStyle w:val="ListParagraph"/>
        <w:numPr>
          <w:ilvl w:val="2"/>
          <w:numId w:val="24"/>
        </w:numPr>
        <w:spacing w:after="120" w:line="240" w:lineRule="auto"/>
        <w:ind w:left="1980"/>
        <w:contextualSpacing w:val="0"/>
        <w:rPr>
          <w:rFonts w:cstheme="minorHAnsi"/>
        </w:rPr>
      </w:pPr>
      <w:r w:rsidRPr="00827CF9">
        <w:rPr>
          <w:rFonts w:cstheme="minorHAnsi"/>
        </w:rPr>
        <w:t>If submitted through a manufacturer’s IDE: Notify the manufacturer of the emergency use so they may notify the FDA.</w:t>
      </w:r>
    </w:p>
    <w:p w14:paraId="50611563" w14:textId="6C5324AD" w:rsidR="00827CF9" w:rsidRPr="00133E6D" w:rsidRDefault="001750EC" w:rsidP="00133E6D">
      <w:pPr>
        <w:pStyle w:val="ListParagraph"/>
        <w:numPr>
          <w:ilvl w:val="2"/>
          <w:numId w:val="24"/>
        </w:numPr>
        <w:spacing w:after="120" w:line="240" w:lineRule="auto"/>
        <w:ind w:left="1980"/>
        <w:contextualSpacing w:val="0"/>
        <w:rPr>
          <w:rFonts w:cstheme="minorHAnsi"/>
          <w:b/>
        </w:rPr>
      </w:pPr>
      <w:r w:rsidRPr="00827CF9">
        <w:rPr>
          <w:rFonts w:cstheme="minorHAnsi"/>
        </w:rPr>
        <w:t xml:space="preserve">If the Penn physician submitted the IDE information directly to FDA: notify FDA of the emergency use and provide FDA with a written summary of the conditions constituting the emergency, subject protection measures, and treatment results. If you need assistance with this, please reach out to the Office of Clinical Research </w:t>
      </w:r>
      <w:r w:rsidR="00F049A4">
        <w:rPr>
          <w:rFonts w:cstheme="minorHAnsi"/>
        </w:rPr>
        <w:t>Regulatory Services</w:t>
      </w:r>
      <w:r w:rsidRPr="00827CF9">
        <w:rPr>
          <w:rFonts w:cstheme="minorHAnsi"/>
        </w:rPr>
        <w:t xml:space="preserve">: </w:t>
      </w:r>
      <w:hyperlink r:id="rId14" w:history="1">
        <w:r w:rsidR="00F049A4" w:rsidRPr="009A6EEE">
          <w:rPr>
            <w:rStyle w:val="Hyperlink"/>
            <w:rFonts w:cstheme="minorHAnsi"/>
          </w:rPr>
          <w:t>https://www.med.upenn.edu/clinicalresearch/regulatory-applications.html</w:t>
        </w:r>
      </w:hyperlink>
      <w:r w:rsidR="00F049A4" w:rsidRPr="00F049A4">
        <w:rPr>
          <w:rFonts w:cstheme="minorHAnsi"/>
        </w:rPr>
        <w:t>.</w:t>
      </w:r>
      <w:r w:rsidR="00F049A4">
        <w:rPr>
          <w:rFonts w:cstheme="minorHAnsi"/>
        </w:rPr>
        <w:t xml:space="preserve"> </w:t>
      </w:r>
      <w:r w:rsidR="00F049A4" w:rsidRPr="00F049A4">
        <w:rPr>
          <w:rFonts w:cstheme="minorHAnsi"/>
        </w:rPr>
        <w:t xml:space="preserve">Questions can also be emailed to: </w:t>
      </w:r>
      <w:hyperlink r:id="rId15" w:history="1">
        <w:r w:rsidR="00F049A4" w:rsidRPr="009A6EEE">
          <w:rPr>
            <w:rStyle w:val="Hyperlink"/>
            <w:rFonts w:cstheme="minorHAnsi"/>
          </w:rPr>
          <w:t>psom-ind-ide@pobox.upenn.edu</w:t>
        </w:r>
      </w:hyperlink>
    </w:p>
    <w:p w14:paraId="377E4F15" w14:textId="77777777" w:rsidR="0048697E" w:rsidRPr="004210A5" w:rsidRDefault="0048697E" w:rsidP="00E5189D">
      <w:pPr>
        <w:spacing w:after="120" w:line="240" w:lineRule="auto"/>
        <w:rPr>
          <w:rFonts w:cstheme="minorHAnsi"/>
        </w:rPr>
      </w:pPr>
    </w:p>
    <w:sectPr w:rsidR="0048697E" w:rsidRPr="004210A5" w:rsidSect="00133E6D">
      <w:headerReference w:type="default" r:id="rId16"/>
      <w:footerReference w:type="default" r:id="rId17"/>
      <w:pgSz w:w="12240" w:h="15840"/>
      <w:pgMar w:top="108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AEA9" w14:textId="77777777" w:rsidR="003653E6" w:rsidRDefault="003653E6" w:rsidP="001750EC">
      <w:pPr>
        <w:spacing w:after="0" w:line="240" w:lineRule="auto"/>
      </w:pPr>
      <w:r>
        <w:separator/>
      </w:r>
    </w:p>
  </w:endnote>
  <w:endnote w:type="continuationSeparator" w:id="0">
    <w:p w14:paraId="6A834E1D" w14:textId="77777777" w:rsidR="003653E6" w:rsidRDefault="003653E6" w:rsidP="0017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EF7F" w14:textId="4A934A11" w:rsidR="00F049A4" w:rsidRDefault="00F049A4">
    <w:pPr>
      <w:pStyle w:val="Footer"/>
    </w:pPr>
    <w:r>
      <w:t>Updated 2.1.2026</w:t>
    </w:r>
  </w:p>
  <w:p w14:paraId="298DB9D8" w14:textId="77777777" w:rsidR="00F049A4" w:rsidRDefault="00F04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C29B" w14:textId="77777777" w:rsidR="003653E6" w:rsidRDefault="003653E6" w:rsidP="001750EC">
      <w:pPr>
        <w:spacing w:after="0" w:line="240" w:lineRule="auto"/>
      </w:pPr>
      <w:r>
        <w:separator/>
      </w:r>
    </w:p>
  </w:footnote>
  <w:footnote w:type="continuationSeparator" w:id="0">
    <w:p w14:paraId="636CC8B8" w14:textId="77777777" w:rsidR="003653E6" w:rsidRDefault="003653E6" w:rsidP="0017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D18E" w14:textId="77777777" w:rsidR="001750EC" w:rsidRDefault="001750EC" w:rsidP="001750EC">
    <w:pPr>
      <w:pStyle w:val="Header"/>
      <w:jc w:val="center"/>
      <w:rPr>
        <w:rFonts w:ascii="Georgia" w:hAnsi="Georgia"/>
        <w:sz w:val="24"/>
      </w:rPr>
    </w:pPr>
    <w:r w:rsidRPr="00D42686">
      <w:rPr>
        <w:rFonts w:ascii="Georgia" w:hAnsi="Georgia"/>
        <w:noProof/>
        <w:sz w:val="20"/>
      </w:rPr>
      <w:drawing>
        <wp:anchor distT="0" distB="0" distL="114300" distR="114300" simplePos="0" relativeHeight="251659264" behindDoc="0" locked="0" layoutInCell="1" allowOverlap="1" wp14:anchorId="2C465E7F" wp14:editId="22A40701">
          <wp:simplePos x="0" y="0"/>
          <wp:positionH relativeFrom="leftMargin">
            <wp:posOffset>1647824</wp:posOffset>
          </wp:positionH>
          <wp:positionV relativeFrom="paragraph">
            <wp:posOffset>-114597</wp:posOffset>
          </wp:positionV>
          <wp:extent cx="307975" cy="347972"/>
          <wp:effectExtent l="0" t="0" r="0" b="0"/>
          <wp:wrapNone/>
          <wp:docPr id="525806423" name="Picture 525806423" descr="C:\Users\emilywi\Desktop\shield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ywi\Desktop\shield_colo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40" cy="35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686">
      <w:rPr>
        <w:rFonts w:ascii="Georgia" w:hAnsi="Georgia"/>
        <w:sz w:val="24"/>
      </w:rPr>
      <w:t>University of Pennsylvania ◊ Institutional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3EE"/>
    <w:multiLevelType w:val="hybridMultilevel"/>
    <w:tmpl w:val="BA9A1F4A"/>
    <w:lvl w:ilvl="0" w:tplc="90DCBED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13EF98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19C894CE">
      <w:numFmt w:val="bullet"/>
      <w:lvlText w:val="•"/>
      <w:lvlJc w:val="left"/>
      <w:pPr>
        <w:ind w:left="1710" w:hanging="180"/>
      </w:pPr>
      <w:rPr>
        <w:rFonts w:ascii="Calibri Light" w:eastAsiaTheme="minorHAnsi" w:hAnsi="Calibri Light" w:cs="Calibri Light" w:hint="default"/>
        <w:b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412"/>
    <w:multiLevelType w:val="hybridMultilevel"/>
    <w:tmpl w:val="E410ED5A"/>
    <w:lvl w:ilvl="0" w:tplc="90DCBED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13EF98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5CFCB39C">
      <w:start w:val="1"/>
      <w:numFmt w:val="lowerRoman"/>
      <w:lvlText w:val="%3."/>
      <w:lvlJc w:val="right"/>
      <w:pPr>
        <w:ind w:left="1710" w:hanging="180"/>
      </w:pPr>
      <w:rPr>
        <w:b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79C3"/>
    <w:multiLevelType w:val="hybridMultilevel"/>
    <w:tmpl w:val="AEA0B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216"/>
    <w:multiLevelType w:val="hybridMultilevel"/>
    <w:tmpl w:val="64EAEBDC"/>
    <w:lvl w:ilvl="0" w:tplc="90DCBED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13EF98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19C894CE">
      <w:numFmt w:val="bullet"/>
      <w:lvlText w:val="•"/>
      <w:lvlJc w:val="left"/>
      <w:pPr>
        <w:ind w:left="1710" w:hanging="180"/>
      </w:pPr>
      <w:rPr>
        <w:rFonts w:ascii="Calibri Light" w:eastAsiaTheme="minorHAnsi" w:hAnsi="Calibri Light" w:cs="Calibri Light" w:hint="default"/>
        <w:b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EEA"/>
    <w:multiLevelType w:val="multilevel"/>
    <w:tmpl w:val="66E6DD7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D52E9"/>
    <w:multiLevelType w:val="hybridMultilevel"/>
    <w:tmpl w:val="DF7E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093A2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356B"/>
    <w:multiLevelType w:val="multilevel"/>
    <w:tmpl w:val="E0B06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C60F3"/>
    <w:multiLevelType w:val="multilevel"/>
    <w:tmpl w:val="53D21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C08AF"/>
    <w:multiLevelType w:val="multilevel"/>
    <w:tmpl w:val="55A6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D618C"/>
    <w:multiLevelType w:val="hybridMultilevel"/>
    <w:tmpl w:val="9E68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2DD"/>
    <w:multiLevelType w:val="hybridMultilevel"/>
    <w:tmpl w:val="22AA4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B3E44"/>
    <w:multiLevelType w:val="hybridMultilevel"/>
    <w:tmpl w:val="CDE450A0"/>
    <w:lvl w:ilvl="0" w:tplc="19C894C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593A"/>
    <w:multiLevelType w:val="hybridMultilevel"/>
    <w:tmpl w:val="936A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A093A2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A0DD2"/>
    <w:multiLevelType w:val="hybridMultilevel"/>
    <w:tmpl w:val="22B4A8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EB6BE0"/>
    <w:multiLevelType w:val="hybridMultilevel"/>
    <w:tmpl w:val="997825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A2191"/>
    <w:multiLevelType w:val="hybridMultilevel"/>
    <w:tmpl w:val="D964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A093A2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19C894CE">
      <w:numFmt w:val="bullet"/>
      <w:lvlText w:val="•"/>
      <w:lvlJc w:val="left"/>
      <w:pPr>
        <w:ind w:left="2160" w:hanging="180"/>
      </w:pPr>
      <w:rPr>
        <w:rFonts w:ascii="Calibri Light" w:eastAsiaTheme="minorHAnsi" w:hAnsi="Calibri Light" w:cs="Calibri Light" w:hint="default"/>
        <w:b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60829"/>
    <w:multiLevelType w:val="hybridMultilevel"/>
    <w:tmpl w:val="56F6B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F26DBF"/>
    <w:multiLevelType w:val="hybridMultilevel"/>
    <w:tmpl w:val="27263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D94185"/>
    <w:multiLevelType w:val="hybridMultilevel"/>
    <w:tmpl w:val="A8A65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C7E28"/>
    <w:multiLevelType w:val="hybridMultilevel"/>
    <w:tmpl w:val="50846E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356AF"/>
    <w:multiLevelType w:val="multilevel"/>
    <w:tmpl w:val="104A6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B7C40"/>
    <w:multiLevelType w:val="hybridMultilevel"/>
    <w:tmpl w:val="FDD46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815DC"/>
    <w:multiLevelType w:val="hybridMultilevel"/>
    <w:tmpl w:val="AB8E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21C1C"/>
    <w:multiLevelType w:val="hybridMultilevel"/>
    <w:tmpl w:val="5E5EC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A093A2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4272">
    <w:abstractNumId w:val="7"/>
  </w:num>
  <w:num w:numId="2" w16cid:durableId="769933859">
    <w:abstractNumId w:val="20"/>
  </w:num>
  <w:num w:numId="3" w16cid:durableId="2091653605">
    <w:abstractNumId w:val="6"/>
  </w:num>
  <w:num w:numId="4" w16cid:durableId="588348840">
    <w:abstractNumId w:val="10"/>
  </w:num>
  <w:num w:numId="5" w16cid:durableId="1638560719">
    <w:abstractNumId w:val="4"/>
  </w:num>
  <w:num w:numId="6" w16cid:durableId="996492086">
    <w:abstractNumId w:val="8"/>
  </w:num>
  <w:num w:numId="7" w16cid:durableId="1349990214">
    <w:abstractNumId w:val="22"/>
  </w:num>
  <w:num w:numId="8" w16cid:durableId="1115517442">
    <w:abstractNumId w:val="18"/>
  </w:num>
  <w:num w:numId="9" w16cid:durableId="611671819">
    <w:abstractNumId w:val="21"/>
  </w:num>
  <w:num w:numId="10" w16cid:durableId="1727024573">
    <w:abstractNumId w:val="1"/>
  </w:num>
  <w:num w:numId="11" w16cid:durableId="1451632940">
    <w:abstractNumId w:val="5"/>
  </w:num>
  <w:num w:numId="12" w16cid:durableId="1515418979">
    <w:abstractNumId w:val="23"/>
  </w:num>
  <w:num w:numId="13" w16cid:durableId="555776906">
    <w:abstractNumId w:val="12"/>
  </w:num>
  <w:num w:numId="14" w16cid:durableId="1203706847">
    <w:abstractNumId w:val="15"/>
  </w:num>
  <w:num w:numId="15" w16cid:durableId="1510488689">
    <w:abstractNumId w:val="3"/>
  </w:num>
  <w:num w:numId="16" w16cid:durableId="641692560">
    <w:abstractNumId w:val="0"/>
  </w:num>
  <w:num w:numId="17" w16cid:durableId="2100366989">
    <w:abstractNumId w:val="2"/>
  </w:num>
  <w:num w:numId="18" w16cid:durableId="1781532770">
    <w:abstractNumId w:val="11"/>
  </w:num>
  <w:num w:numId="19" w16cid:durableId="1415590030">
    <w:abstractNumId w:val="9"/>
  </w:num>
  <w:num w:numId="20" w16cid:durableId="625047407">
    <w:abstractNumId w:val="13"/>
  </w:num>
  <w:num w:numId="21" w16cid:durableId="1904441783">
    <w:abstractNumId w:val="14"/>
  </w:num>
  <w:num w:numId="22" w16cid:durableId="867648184">
    <w:abstractNumId w:val="17"/>
  </w:num>
  <w:num w:numId="23" w16cid:durableId="1947613160">
    <w:abstractNumId w:val="16"/>
  </w:num>
  <w:num w:numId="24" w16cid:durableId="1395472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EC"/>
    <w:rsid w:val="00133E6D"/>
    <w:rsid w:val="001750EC"/>
    <w:rsid w:val="003653E6"/>
    <w:rsid w:val="004210A5"/>
    <w:rsid w:val="00436DEF"/>
    <w:rsid w:val="0048697E"/>
    <w:rsid w:val="005F3914"/>
    <w:rsid w:val="00827CF9"/>
    <w:rsid w:val="00916100"/>
    <w:rsid w:val="00984CD9"/>
    <w:rsid w:val="009E3542"/>
    <w:rsid w:val="00C81656"/>
    <w:rsid w:val="00E006DE"/>
    <w:rsid w:val="00E5189D"/>
    <w:rsid w:val="00F049A4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0195"/>
  <w15:chartTrackingRefBased/>
  <w15:docId w15:val="{364E5C69-36FA-4711-991E-5F1632D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0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0E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EC"/>
  </w:style>
  <w:style w:type="paragraph" w:styleId="Footer">
    <w:name w:val="footer"/>
    <w:basedOn w:val="Normal"/>
    <w:link w:val="FooterChar"/>
    <w:uiPriority w:val="99"/>
    <w:unhideWhenUsed/>
    <w:rsid w:val="0017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EC"/>
  </w:style>
  <w:style w:type="table" w:styleId="TableGrid">
    <w:name w:val="Table Grid"/>
    <w:basedOn w:val="TableNormal"/>
    <w:uiPriority w:val="39"/>
    <w:rsid w:val="00E5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49A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4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rugs/DevelopmentApprovalProcess/HowDrugsareDevelopedandApproved/ApprovalApplications/InvestigationalNewDrugINDApplication/ucm597130.htm" TargetMode="External"/><Relationship Id="rId13" Type="http://schemas.openxmlformats.org/officeDocument/2006/relationships/hyperlink" Target="https://www.fda.gov/Drugs/DevelopmentApprovalProcess/HowDrugsareDevelopedandApproved/ApprovalApplications/InvestigationalNewDrugINDApplication/ucm597130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da.gov/RegulatoryInformation/Guidances/ucm126491.htm" TargetMode="External"/><Relationship Id="rId12" Type="http://schemas.openxmlformats.org/officeDocument/2006/relationships/hyperlink" Target="mailto:psom-ind-ide@pobox.upenn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.upenn.edu/clinicalresearch/regulatory-application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som-ind-ide@pobox.upenn.edu" TargetMode="External"/><Relationship Id="rId10" Type="http://schemas.openxmlformats.org/officeDocument/2006/relationships/hyperlink" Target="http://www.upenn.edu/IRB/form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MedicalDevices/DeviceRegulationandGuidance/HowtoMarketYourDevice/InvestigationalDeviceExemptionIDE/ucm051345.htm" TargetMode="External"/><Relationship Id="rId14" Type="http://schemas.openxmlformats.org/officeDocument/2006/relationships/hyperlink" Target="https://www.med.upenn.edu/clinicalresearch/regulatory-application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971</Words>
  <Characters>5197</Characters>
  <Application>Microsoft Office Word</Application>
  <DocSecurity>0</DocSecurity>
  <Lines>133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Pennsylvania, AIT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A. Wirtanen</dc:creator>
  <cp:keywords/>
  <dc:description/>
  <cp:lastModifiedBy>Pinder, Diane P.</cp:lastModifiedBy>
  <cp:revision>2</cp:revision>
  <dcterms:created xsi:type="dcterms:W3CDTF">2026-02-02T19:27:00Z</dcterms:created>
  <dcterms:modified xsi:type="dcterms:W3CDTF">2026-02-02T19:27:00Z</dcterms:modified>
</cp:coreProperties>
</file>